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99" w:rsidRDefault="00F11699"/>
    <w:tbl>
      <w:tblPr>
        <w:tblStyle w:val="GridTable4Accent1"/>
        <w:tblW w:w="5000" w:type="pct"/>
        <w:tblCellMar>
          <w:left w:w="85" w:type="dxa"/>
          <w:right w:w="85" w:type="dxa"/>
        </w:tblCellMar>
        <w:tblLook w:val="04A0"/>
      </w:tblPr>
      <w:tblGrid>
        <w:gridCol w:w="4621"/>
        <w:gridCol w:w="4621"/>
      </w:tblGrid>
      <w:tr w:rsidR="006726B1" w:rsidTr="00F8423E">
        <w:trPr>
          <w:cnfStyle w:val="100000000000"/>
          <w:trHeight w:val="739"/>
        </w:trPr>
        <w:tc>
          <w:tcPr>
            <w:cnfStyle w:val="001000000000"/>
            <w:tcW w:w="2500" w:type="pc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1F3864" w:themeFill="accent1" w:themeFillShade="80"/>
            <w:vAlign w:val="center"/>
          </w:tcPr>
          <w:p w:rsidR="006726B1" w:rsidRPr="00A85B5B" w:rsidRDefault="006726B1" w:rsidP="006726B1">
            <w:pPr>
              <w:jc w:val="center"/>
              <w:rPr>
                <w:sz w:val="24"/>
                <w:szCs w:val="24"/>
              </w:rPr>
            </w:pPr>
            <w:r w:rsidRPr="00A85B5B">
              <w:rPr>
                <w:sz w:val="24"/>
                <w:szCs w:val="24"/>
              </w:rPr>
              <w:t>PODMIOT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1F3864" w:themeFill="accent1" w:themeFillShade="80"/>
            <w:vAlign w:val="center"/>
          </w:tcPr>
          <w:p w:rsidR="006726B1" w:rsidRPr="00A85B5B" w:rsidRDefault="006726B1" w:rsidP="006726B1">
            <w:pPr>
              <w:jc w:val="center"/>
              <w:cnfStyle w:val="100000000000"/>
              <w:rPr>
                <w:sz w:val="24"/>
                <w:szCs w:val="24"/>
              </w:rPr>
            </w:pPr>
            <w:r w:rsidRPr="00A85B5B">
              <w:rPr>
                <w:sz w:val="24"/>
                <w:szCs w:val="24"/>
              </w:rPr>
              <w:t>CEL</w:t>
            </w:r>
          </w:p>
        </w:tc>
      </w:tr>
      <w:tr w:rsidR="006726B1" w:rsidTr="00F8423E">
        <w:trPr>
          <w:cnfStyle w:val="000000100000"/>
          <w:cantSplit/>
          <w:trHeight w:val="1134"/>
        </w:trPr>
        <w:tc>
          <w:tcPr>
            <w:cnfStyle w:val="001000000000"/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6726B1" w:rsidRPr="00F8423E" w:rsidRDefault="006726B1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PayU S.A. z siedzibą w Poznaniu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6726B1" w:rsidRPr="00F8423E" w:rsidRDefault="006726B1" w:rsidP="00F8423E">
            <w:pPr>
              <w:jc w:val="center"/>
              <w:cnfStyle w:val="00000010000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  <w:r w:rsidR="0013473F">
              <w:rPr>
                <w:sz w:val="20"/>
                <w:szCs w:val="20"/>
              </w:rPr>
              <w:t>, Raty PayU</w:t>
            </w:r>
          </w:p>
        </w:tc>
      </w:tr>
      <w:tr w:rsidR="00FC5444" w:rsidTr="00F8423E">
        <w:trPr>
          <w:cantSplit/>
          <w:trHeight w:val="1134"/>
        </w:trPr>
        <w:tc>
          <w:tcPr>
            <w:cnfStyle w:val="00100000000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C5444" w:rsidRPr="00F8423E" w:rsidRDefault="00490230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8423E">
              <w:rPr>
                <w:b w:val="0"/>
                <w:sz w:val="20"/>
                <w:szCs w:val="20"/>
              </w:rPr>
              <w:t>mBank</w:t>
            </w:r>
            <w:proofErr w:type="spellEnd"/>
            <w:r w:rsidRPr="00F8423E">
              <w:rPr>
                <w:b w:val="0"/>
                <w:sz w:val="20"/>
                <w:szCs w:val="20"/>
              </w:rPr>
              <w:t xml:space="preserve"> S.A.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C5444" w:rsidRPr="00F8423E" w:rsidRDefault="00FC5444" w:rsidP="00F8423E">
            <w:pPr>
              <w:jc w:val="center"/>
              <w:cnfStyle w:val="00000000000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  <w:r w:rsidR="00160090">
              <w:rPr>
                <w:sz w:val="20"/>
                <w:szCs w:val="20"/>
              </w:rPr>
              <w:t xml:space="preserve"> ratalnej</w:t>
            </w:r>
          </w:p>
        </w:tc>
      </w:tr>
      <w:tr w:rsidR="00FC5444" w:rsidTr="00F8423E">
        <w:trPr>
          <w:cnfStyle w:val="000000100000"/>
          <w:cantSplit/>
          <w:trHeight w:val="1134"/>
        </w:trPr>
        <w:tc>
          <w:tcPr>
            <w:cnfStyle w:val="00100000000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C5444" w:rsidRPr="00F8423E" w:rsidRDefault="00490230" w:rsidP="00F8423E">
            <w:pPr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F8423E">
              <w:rPr>
                <w:b w:val="0"/>
                <w:sz w:val="20"/>
                <w:szCs w:val="20"/>
                <w:lang w:val="en-GB"/>
              </w:rPr>
              <w:t>Santander Consumer Bank S.A.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C5444" w:rsidRPr="00F8423E" w:rsidRDefault="00FC5444" w:rsidP="00F8423E">
            <w:pPr>
              <w:jc w:val="center"/>
              <w:cnfStyle w:val="00000010000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  <w:r w:rsidR="00490230" w:rsidRPr="00F8423E">
              <w:rPr>
                <w:sz w:val="20"/>
                <w:szCs w:val="20"/>
              </w:rPr>
              <w:t xml:space="preserve"> w systemie e-Raty Santander Consumer Finanse</w:t>
            </w:r>
          </w:p>
        </w:tc>
      </w:tr>
      <w:tr w:rsidR="00FC5444" w:rsidTr="00F8423E">
        <w:trPr>
          <w:cantSplit/>
          <w:trHeight w:val="1134"/>
        </w:trPr>
        <w:tc>
          <w:tcPr>
            <w:cnfStyle w:val="00100000000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C5444" w:rsidRPr="00F8423E" w:rsidRDefault="00490230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Credit Agricole Bank Polska Spółka Akcyjna z siedzibą we Wrocławiu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C5444" w:rsidRPr="00F8423E" w:rsidRDefault="00FC5444" w:rsidP="00F8423E">
            <w:pPr>
              <w:jc w:val="center"/>
              <w:cnfStyle w:val="00000000000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  <w:r w:rsidR="00490230" w:rsidRPr="00F8423E">
              <w:rPr>
                <w:sz w:val="20"/>
                <w:szCs w:val="20"/>
              </w:rPr>
              <w:t xml:space="preserve"> w systemie Raty Credit Agricole</w:t>
            </w:r>
          </w:p>
        </w:tc>
      </w:tr>
      <w:tr w:rsidR="00FC5444" w:rsidTr="00F8423E">
        <w:trPr>
          <w:cnfStyle w:val="000000100000"/>
          <w:cantSplit/>
          <w:trHeight w:val="1134"/>
        </w:trPr>
        <w:tc>
          <w:tcPr>
            <w:cnfStyle w:val="00100000000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C5444" w:rsidRPr="00F8423E" w:rsidRDefault="00490230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Alior Bank S.A.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C5444" w:rsidRPr="00F8423E" w:rsidRDefault="00490230" w:rsidP="00F8423E">
            <w:pPr>
              <w:jc w:val="center"/>
              <w:cnfStyle w:val="00000010000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  <w:r w:rsidR="00690A64">
              <w:rPr>
                <w:sz w:val="20"/>
                <w:szCs w:val="20"/>
              </w:rPr>
              <w:t xml:space="preserve"> ratalnej</w:t>
            </w:r>
            <w:bookmarkStart w:id="0" w:name="_GoBack"/>
            <w:bookmarkEnd w:id="0"/>
          </w:p>
        </w:tc>
      </w:tr>
      <w:tr w:rsidR="00FC5444" w:rsidTr="00F8423E">
        <w:trPr>
          <w:cantSplit/>
          <w:trHeight w:val="1134"/>
        </w:trPr>
        <w:tc>
          <w:tcPr>
            <w:cnfStyle w:val="00100000000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C5444" w:rsidRPr="00F8423E" w:rsidRDefault="00FC5444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Operator DPD sp. z o.o.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C5444" w:rsidRPr="00F8423E" w:rsidRDefault="00FC5444" w:rsidP="00F8423E">
            <w:pPr>
              <w:jc w:val="center"/>
              <w:cnfStyle w:val="00000000000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zamówienia</w:t>
            </w:r>
          </w:p>
        </w:tc>
      </w:tr>
      <w:tr w:rsidR="00D86464" w:rsidTr="00F8423E">
        <w:trPr>
          <w:cnfStyle w:val="000000100000"/>
          <w:cantSplit/>
          <w:trHeight w:val="1134"/>
        </w:trPr>
        <w:tc>
          <w:tcPr>
            <w:cnfStyle w:val="00100000000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D86464" w:rsidRPr="00F8423E" w:rsidRDefault="00D86464" w:rsidP="00F8423E">
            <w:pPr>
              <w:jc w:val="center"/>
              <w:rPr>
                <w:b w:val="0"/>
              </w:rPr>
            </w:pPr>
            <w:r w:rsidRPr="00F8423E">
              <w:rPr>
                <w:b w:val="0"/>
              </w:rPr>
              <w:t></w:t>
            </w:r>
            <w:r w:rsidRPr="00F8423E">
              <w:rPr>
                <w:b w:val="0"/>
              </w:rPr>
              <w:tab/>
            </w: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GP Kancelaria Poniatowska-Maj Strzelec-Gwóźdź sp. p. z siedzibą w Krakowie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D86464" w:rsidRPr="00F8423E" w:rsidRDefault="00F8423E" w:rsidP="00F8423E">
            <w:pPr>
              <w:jc w:val="center"/>
              <w:cnfStyle w:val="00000010000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P</w:t>
            </w:r>
            <w:r w:rsidR="00D86464" w:rsidRPr="00F8423E">
              <w:rPr>
                <w:sz w:val="20"/>
                <w:szCs w:val="20"/>
              </w:rPr>
              <w:t>rezentacja Świadectwa Zgodności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za pośrednictwem Serwisu Internetowego solidnyregulamin.pl</w:t>
            </w:r>
          </w:p>
        </w:tc>
      </w:tr>
      <w:tr w:rsidR="00D86464" w:rsidTr="00F8423E">
        <w:trPr>
          <w:cantSplit/>
          <w:trHeight w:val="1134"/>
        </w:trPr>
        <w:tc>
          <w:tcPr>
            <w:cnfStyle w:val="00100000000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D86464" w:rsidRPr="007C5018" w:rsidRDefault="007C5018" w:rsidP="00F8423E">
            <w:pPr>
              <w:jc w:val="center"/>
              <w:rPr>
                <w:b w:val="0"/>
                <w:lang w:val="en-GB"/>
              </w:rPr>
            </w:pPr>
            <w:r w:rsidRPr="007C5018"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Google Inc. (Google Cloud, Google Analytics, Google Analytics 360, Fabric Software)</w:t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z </w:t>
            </w:r>
            <w:proofErr w:type="spellStart"/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siedzibą</w:t>
            </w:r>
            <w:proofErr w:type="spellEnd"/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D86464" w:rsidRPr="00F8423E" w:rsidRDefault="007C5018" w:rsidP="00F8423E">
            <w:pPr>
              <w:jc w:val="center"/>
              <w:cnfStyle w:val="000000000000"/>
              <w:rPr>
                <w:sz w:val="20"/>
                <w:szCs w:val="20"/>
              </w:rPr>
            </w:pPr>
            <w:r w:rsidRPr="007C5018">
              <w:rPr>
                <w:rFonts w:cstheme="minorHAnsi"/>
                <w:color w:val="000000" w:themeColor="text1"/>
                <w:sz w:val="20"/>
                <w:szCs w:val="20"/>
              </w:rPr>
              <w:t>Mierzenie ruchu na stronach internetowych, raportowanie o błędach aplikacji,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tworzenie statystyk</w:t>
            </w:r>
          </w:p>
        </w:tc>
      </w:tr>
      <w:tr w:rsidR="00D86464" w:rsidTr="00F8423E">
        <w:trPr>
          <w:cnfStyle w:val="000000100000"/>
          <w:cantSplit/>
          <w:trHeight w:val="1134"/>
        </w:trPr>
        <w:tc>
          <w:tcPr>
            <w:cnfStyle w:val="00100000000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D86464" w:rsidRPr="007C5018" w:rsidRDefault="00D86464" w:rsidP="00F8423E">
            <w:pPr>
              <w:jc w:val="center"/>
              <w:rPr>
                <w:b w:val="0"/>
              </w:rPr>
            </w:pP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Google Inc.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8423E" w:rsidRPr="00F8423E" w:rsidRDefault="00F8423E" w:rsidP="00F8423E">
            <w:pPr>
              <w:jc w:val="center"/>
              <w:cnfStyle w:val="00000010000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O</w:t>
            </w:r>
            <w:r w:rsidR="00D86464" w:rsidRPr="00F8423E">
              <w:rPr>
                <w:sz w:val="20"/>
                <w:szCs w:val="20"/>
              </w:rPr>
              <w:t>kreślani</w:t>
            </w:r>
            <w:r w:rsidRPr="00F8423E">
              <w:rPr>
                <w:sz w:val="20"/>
                <w:szCs w:val="20"/>
              </w:rPr>
              <w:t>e</w:t>
            </w:r>
            <w:r w:rsidR="00D86464" w:rsidRPr="00F8423E">
              <w:rPr>
                <w:sz w:val="20"/>
                <w:szCs w:val="20"/>
              </w:rPr>
              <w:t xml:space="preserve"> profilu Klientów </w:t>
            </w:r>
            <w:r w:rsidRPr="00F8423E">
              <w:rPr>
                <w:sz w:val="20"/>
                <w:szCs w:val="20"/>
              </w:rPr>
              <w:t>–</w:t>
            </w:r>
          </w:p>
          <w:p w:rsidR="00D86464" w:rsidRPr="00F8423E" w:rsidRDefault="00D86464" w:rsidP="00F8423E">
            <w:pPr>
              <w:jc w:val="center"/>
              <w:cnfStyle w:val="000000100000"/>
              <w:rPr>
                <w:sz w:val="20"/>
                <w:szCs w:val="20"/>
              </w:rPr>
            </w:pP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Google </w:t>
            </w:r>
            <w:proofErr w:type="spellStart"/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AdSense</w:t>
            </w:r>
            <w:proofErr w:type="spellEnd"/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oraz Google </w:t>
            </w:r>
            <w:proofErr w:type="spellStart"/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Adwords</w:t>
            </w:r>
            <w:proofErr w:type="spellEnd"/>
          </w:p>
        </w:tc>
      </w:tr>
      <w:tr w:rsidR="00D86464" w:rsidTr="00F8423E">
        <w:trPr>
          <w:cantSplit/>
          <w:trHeight w:val="1134"/>
        </w:trPr>
        <w:tc>
          <w:tcPr>
            <w:cnfStyle w:val="00100000000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D86464" w:rsidRPr="00F8423E" w:rsidRDefault="00D86464" w:rsidP="00F8423E">
            <w:pPr>
              <w:jc w:val="center"/>
              <w:rPr>
                <w:b w:val="0"/>
              </w:rPr>
            </w:pP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Google Inc.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D86464" w:rsidRPr="00F8423E" w:rsidRDefault="00F8423E" w:rsidP="00F8423E">
            <w:pPr>
              <w:jc w:val="center"/>
              <w:cnfStyle w:val="000000000000"/>
              <w:rPr>
                <w:sz w:val="20"/>
                <w:szCs w:val="20"/>
              </w:rPr>
            </w:pP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>nalizowani</w:t>
            </w: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aktywności Klientów</w:t>
            </w:r>
          </w:p>
        </w:tc>
      </w:tr>
      <w:tr w:rsidR="007C5018" w:rsidRPr="007C5018" w:rsidTr="00F8423E">
        <w:trPr>
          <w:cnfStyle w:val="000000100000"/>
          <w:cantSplit/>
          <w:trHeight w:val="1134"/>
        </w:trPr>
        <w:tc>
          <w:tcPr>
            <w:cnfStyle w:val="00100000000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7C5018" w:rsidRPr="007C5018" w:rsidRDefault="007C5018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5018"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Google Ireland Ltd (Google </w:t>
            </w:r>
            <w:proofErr w:type="spellStart"/>
            <w:r w:rsidRPr="007C5018"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Adwords</w:t>
            </w:r>
            <w:proofErr w:type="spellEnd"/>
            <w:r w:rsidRPr="007C5018"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, Double Click Manager,  Double Click Search, Remarketing Service, Firebase)</w:t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z </w:t>
            </w:r>
            <w:proofErr w:type="spellStart"/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siedzibą</w:t>
            </w:r>
            <w:proofErr w:type="spellEnd"/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Irlandii</w:t>
            </w:r>
            <w:proofErr w:type="spellEnd"/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7C5018" w:rsidRPr="007C5018" w:rsidRDefault="007C5018" w:rsidP="00F8423E">
            <w:pPr>
              <w:jc w:val="center"/>
              <w:cnfStyle w:val="00000010000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C5018">
              <w:rPr>
                <w:rFonts w:cstheme="minorHAnsi"/>
                <w:color w:val="000000" w:themeColor="text1"/>
                <w:sz w:val="20"/>
                <w:szCs w:val="20"/>
              </w:rPr>
              <w:t>Mierzenie efektywności kampanii reklamowych, zarządzanie kampaniami reklamowymi</w:t>
            </w:r>
          </w:p>
        </w:tc>
      </w:tr>
      <w:tr w:rsidR="00D86464" w:rsidTr="00F8423E">
        <w:trPr>
          <w:cantSplit/>
          <w:trHeight w:val="1134"/>
        </w:trPr>
        <w:tc>
          <w:tcPr>
            <w:cnfStyle w:val="00100000000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D86464" w:rsidRPr="00F8423E" w:rsidRDefault="00A53CB9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lastRenderedPageBreak/>
              <w:t>Facebook</w:t>
            </w:r>
            <w:proofErr w:type="spellEnd"/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Ireland z siedzibą w Irlandii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D86464" w:rsidRPr="00F8423E" w:rsidRDefault="00F8423E" w:rsidP="00F8423E">
            <w:pPr>
              <w:jc w:val="center"/>
              <w:cnfStyle w:val="00000000000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>opularyzacj</w:t>
            </w: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Sklepu Internetowego za pomocą serwisu społecznościowego Facebook.com</w:t>
            </w:r>
          </w:p>
        </w:tc>
      </w:tr>
      <w:tr w:rsidR="00A53CB9" w:rsidTr="00F8423E">
        <w:trPr>
          <w:cnfStyle w:val="000000100000"/>
          <w:cantSplit/>
          <w:trHeight w:val="1134"/>
        </w:trPr>
        <w:tc>
          <w:tcPr>
            <w:cnfStyle w:val="00100000000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A53CB9" w:rsidRPr="00F8423E" w:rsidRDefault="00A53CB9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Instagram LLC.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A53CB9" w:rsidRPr="00F8423E" w:rsidRDefault="00F8423E" w:rsidP="00F8423E">
            <w:pPr>
              <w:jc w:val="center"/>
              <w:cnfStyle w:val="00000010000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="00A53CB9" w:rsidRPr="00F8423E">
              <w:rPr>
                <w:rFonts w:cstheme="minorHAnsi"/>
                <w:color w:val="000000" w:themeColor="text1"/>
                <w:sz w:val="20"/>
                <w:szCs w:val="20"/>
              </w:rPr>
              <w:t>opularyzacj</w:t>
            </w: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A53CB9"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Sklepu Internetowego za pomocą serwisu społecznościowego Instagram.com</w:t>
            </w:r>
          </w:p>
        </w:tc>
      </w:tr>
      <w:tr w:rsidR="00F8423E" w:rsidTr="00F8423E">
        <w:trPr>
          <w:cantSplit/>
          <w:trHeight w:val="1134"/>
        </w:trPr>
        <w:tc>
          <w:tcPr>
            <w:cnfStyle w:val="00100000000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8423E" w:rsidRPr="00F8423E" w:rsidRDefault="00F8423E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Microsoft Corporation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8423E" w:rsidRPr="00F8423E" w:rsidRDefault="00F8423E" w:rsidP="00F8423E">
            <w:pPr>
              <w:pStyle w:val="Akapitzlist"/>
              <w:spacing w:after="160" w:line="276" w:lineRule="auto"/>
              <w:jc w:val="center"/>
              <w:cnfStyle w:val="00000000000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F84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Ułatwieni</w:t>
            </w:r>
            <w:r w:rsidR="0021471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e</w:t>
            </w:r>
            <w:r w:rsidRPr="00F84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komunikacji za pośrednictwem strony internetowej Sklepu Internetowego przy wykorzystaniu narzędzia skype.com</w:t>
            </w:r>
          </w:p>
        </w:tc>
      </w:tr>
      <w:tr w:rsidR="00F8423E" w:rsidTr="00F8423E">
        <w:trPr>
          <w:cnfStyle w:val="000000100000"/>
          <w:cantSplit/>
          <w:trHeight w:val="1134"/>
        </w:trPr>
        <w:tc>
          <w:tcPr>
            <w:cnfStyle w:val="00100000000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8423E" w:rsidRPr="00F8423E" w:rsidRDefault="00F8423E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Twitter Inc.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8423E" w:rsidRPr="00F8423E" w:rsidRDefault="00F8423E" w:rsidP="00F8423E">
            <w:pPr>
              <w:pStyle w:val="Akapitzlist"/>
              <w:spacing w:after="160" w:line="276" w:lineRule="auto"/>
              <w:jc w:val="center"/>
              <w:cnfStyle w:val="00000010000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F84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Popularyzacj</w:t>
            </w:r>
            <w:r w:rsidR="0021471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a </w:t>
            </w:r>
            <w:r w:rsidRPr="00F84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Sklepu Internetowego za pomocą serwisu społecznościowego twitter.com</w:t>
            </w:r>
          </w:p>
        </w:tc>
      </w:tr>
    </w:tbl>
    <w:p w:rsidR="00E373A7" w:rsidRDefault="00E373A7"/>
    <w:sectPr w:rsidR="00E373A7" w:rsidSect="007D66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34E" w:rsidRDefault="007E234E" w:rsidP="00F11699">
      <w:pPr>
        <w:spacing w:after="0" w:line="240" w:lineRule="auto"/>
      </w:pPr>
      <w:r>
        <w:separator/>
      </w:r>
    </w:p>
  </w:endnote>
  <w:endnote w:type="continuationSeparator" w:id="0">
    <w:p w:rsidR="007E234E" w:rsidRDefault="007E234E" w:rsidP="00F1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34E" w:rsidRDefault="007E234E" w:rsidP="00F11699">
      <w:pPr>
        <w:spacing w:after="0" w:line="240" w:lineRule="auto"/>
      </w:pPr>
      <w:r>
        <w:separator/>
      </w:r>
    </w:p>
  </w:footnote>
  <w:footnote w:type="continuationSeparator" w:id="0">
    <w:p w:rsidR="007E234E" w:rsidRDefault="007E234E" w:rsidP="00F1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99" w:rsidRPr="00FC5444" w:rsidRDefault="00FC5444" w:rsidP="00F11699">
    <w:pPr>
      <w:pStyle w:val="Nagwek"/>
      <w:jc w:val="center"/>
      <w:rPr>
        <w:rFonts w:cstheme="minorHAnsi"/>
        <w:sz w:val="24"/>
        <w:szCs w:val="24"/>
      </w:rPr>
    </w:pPr>
    <w:r w:rsidRPr="00FC5444">
      <w:rPr>
        <w:rFonts w:cstheme="minorHAnsi"/>
        <w:color w:val="000000"/>
        <w:sz w:val="24"/>
        <w:szCs w:val="24"/>
        <w:shd w:val="clear" w:color="auto" w:fill="FFFFFF"/>
      </w:rPr>
      <w:t xml:space="preserve">Lista dostawców usług, z których korzystamy przy prowadzeniu Sklepu internetowego </w:t>
    </w:r>
  </w:p>
  <w:p w:rsidR="00F11699" w:rsidRDefault="00F116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F04E2"/>
    <w:multiLevelType w:val="hybridMultilevel"/>
    <w:tmpl w:val="F8404E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D03"/>
    <w:rsid w:val="000E2C8B"/>
    <w:rsid w:val="000F55C4"/>
    <w:rsid w:val="0013473F"/>
    <w:rsid w:val="00160090"/>
    <w:rsid w:val="00167907"/>
    <w:rsid w:val="00195D94"/>
    <w:rsid w:val="0021471E"/>
    <w:rsid w:val="00294E3E"/>
    <w:rsid w:val="00490230"/>
    <w:rsid w:val="00582D71"/>
    <w:rsid w:val="006726B1"/>
    <w:rsid w:val="00690A64"/>
    <w:rsid w:val="007C5018"/>
    <w:rsid w:val="007D6614"/>
    <w:rsid w:val="007E234E"/>
    <w:rsid w:val="00834D86"/>
    <w:rsid w:val="00953683"/>
    <w:rsid w:val="00A53CB9"/>
    <w:rsid w:val="00A61D03"/>
    <w:rsid w:val="00A85B5B"/>
    <w:rsid w:val="00C64DB8"/>
    <w:rsid w:val="00D21F0E"/>
    <w:rsid w:val="00D86464"/>
    <w:rsid w:val="00DD0535"/>
    <w:rsid w:val="00E373A7"/>
    <w:rsid w:val="00EF5B99"/>
    <w:rsid w:val="00F07D5E"/>
    <w:rsid w:val="00F11699"/>
    <w:rsid w:val="00F8423E"/>
    <w:rsid w:val="00FB58B4"/>
    <w:rsid w:val="00FC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Standardowy"/>
    <w:uiPriority w:val="49"/>
    <w:rsid w:val="00A61D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A61D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F1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99"/>
  </w:style>
  <w:style w:type="paragraph" w:styleId="Stopka">
    <w:name w:val="footer"/>
    <w:basedOn w:val="Normalny"/>
    <w:link w:val="StopkaZnak"/>
    <w:uiPriority w:val="99"/>
    <w:unhideWhenUsed/>
    <w:rsid w:val="00F1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699"/>
  </w:style>
  <w:style w:type="character" w:styleId="Odwoaniedokomentarza">
    <w:name w:val="annotation reference"/>
    <w:basedOn w:val="Domylnaczcionkaakapitu"/>
    <w:uiPriority w:val="99"/>
    <w:semiHidden/>
    <w:unhideWhenUsed/>
    <w:rsid w:val="00195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D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D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D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D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3CB9"/>
    <w:pPr>
      <w:spacing w:after="0" w:line="240" w:lineRule="auto"/>
      <w:ind w:left="720"/>
      <w:contextualSpacing/>
    </w:pPr>
    <w:rPr>
      <w:rFonts w:ascii="Helvetica Light" w:hAnsi="Helvetica Light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D0077-4EFA-477C-A916-B2147A79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Wierzchowski</dc:creator>
  <cp:lastModifiedBy>Ideal</cp:lastModifiedBy>
  <cp:revision>2</cp:revision>
  <dcterms:created xsi:type="dcterms:W3CDTF">2018-11-08T13:55:00Z</dcterms:created>
  <dcterms:modified xsi:type="dcterms:W3CDTF">2018-11-08T13:55:00Z</dcterms:modified>
</cp:coreProperties>
</file>